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This transaction should be used by an FFL who has serialized a firearm to record the first Acquisition of that firearm. NOTE: The Serialize transaction was specifically designed to serialize a single Manufacturer, Model, Type, Caliber firearm at a time, as that is how more manufacturing environments work. </w:t>
      </w:r>
      <w:r>
        <w:rPr>
          <w:b/>
        </w:rPr>
        <w:t>As such, the Serialize transaction will only process groups of the same Manufacturer, Model, Caliber, Type combination at one time.</w:t>
      </w:r>
      <w:r>
        <w:br/>
      </w:r>
    </w:p>
    <w:p>
      <w:r>
        <w:br/>
      </w:r>
    </w:p>
    <w:p>
      <w:r>
        <w:rPr>
          <w:b/>
          <w:sz w:val="32"/>
        </w:rPr>
        <w:t>Serialize &amp; Acquire Firearms</w:t>
      </w:r>
      <w:r>
        <w:rPr>
          <w:b/>
          <w:sz w:val="32"/>
        </w:rPr>
        <w:br/>
      </w:r>
    </w:p>
    <w:p>
      <w:r>
        <w:rPr>
          <w:b/>
          <w:sz w:val="28"/>
        </w:rPr>
        <w:t>Manual Entry</w:t>
      </w:r>
      <w:r>
        <w:rPr>
          <w:b/>
          <w:sz w:val="28"/>
        </w:rPr>
        <w:br/>
      </w:r>
    </w:p>
    <w:p>
      <w:pPr>
        <w:pStyle w:val="ListNumber"/>
      </w:pPr>
      <w:r>
        <w:t>Under the Standard Transactions heading, select Serialize, or, from any other screen click on Standard Transactions, and select Serialize from the dropdown menu.</w:t>
      </w:r>
    </w:p>
    <w:p>
      <w:pPr>
        <w:pStyle w:val="ListNumber"/>
      </w:pPr>
      <w:r>
        <w:t>Prior to entering any information, verify the correct A&amp;D Book is displayed in the Acquire to FFL/A&amp;D field</w:t>
      </w:r>
      <w:r>
        <w:br/>
      </w:r>
    </w:p>
    <w:p>
      <w:pPr>
        <w:pStyle w:val="ListNumber"/>
      </w:pPr>
      <w:r>
        <w:t>Select the date of serialization in the Physical Date field.  You may manually type in the date, or click the calendar icon and select the date.  This is the date that will write to the A&amp;D Book for the date of Acquisition.  This date must equal the date the firearms were physically serialized, not the date which the User is performing the transaction</w:t>
      </w:r>
      <w:r>
        <w:br/>
      </w:r>
    </w:p>
    <w:p>
      <w:pPr>
        <w:pStyle w:val="ListNumber"/>
      </w:pPr>
      <w:r>
        <w:t>Enter the quantity of firearms to be serialized in the Pre Count field.  If the quantity does not match the quantity of Serial Numbers added to the Transaction List, the transaction will not proceed.  The Pre Count field may be modified at any time while in the transaction</w:t>
      </w:r>
      <w:r>
        <w:br/>
      </w:r>
    </w:p>
    <w:p>
      <w:pPr>
        <w:pStyle w:val="ListNumber"/>
      </w:pPr>
      <w:r>
        <w:t xml:space="preserve">Enter the firearm item details </w:t>
      </w:r>
      <w:r>
        <w:rPr>
          <w:i/>
        </w:rPr>
        <w:t xml:space="preserve">Note: These details can also be filled in using </w:t>
      </w:r>
      <w:r>
        <w:rPr>
          <w:i/>
        </w:rPr>
        <w:t>Part Master Data</w:t>
      </w:r>
      <w:r>
        <w:rPr>
          <w:i/>
        </w:rPr>
        <w:t xml:space="preserve"> if desired</w:t>
      </w:r>
      <w:r>
        <w:t>:</w:t>
      </w:r>
      <w:r>
        <w:br/>
      </w:r>
    </w:p>
    <w:p>
      <w:pPr>
        <w:pStyle w:val="ListNumber"/>
      </w:pPr>
      <w:r>
        <w:t xml:space="preserve">Enter the </w:t>
      </w:r>
      <w:r>
        <w:rPr>
          <w:b/>
        </w:rPr>
        <w:t>Serial Number</w:t>
      </w:r>
      <w:r>
        <w:t xml:space="preserve"> of the firearms to be serialized.  This may be done one at a time, or in a batch operation</w:t>
      </w:r>
      <w:r>
        <w:br/>
      </w:r>
    </w:p>
    <w:p>
      <w:pPr>
        <w:pStyle w:val="ListNumber"/>
      </w:pPr>
      <w:r>
        <w:t>Review the Serial Numbers in your Transaction List, the Firearm Details, and Physical Date prior to posting to the A&amp;D book to ensure the accuracy of data.</w:t>
      </w:r>
      <w:r>
        <w:br/>
      </w:r>
    </w:p>
    <w:p>
      <w:pPr>
        <w:pStyle w:val="ListNumber"/>
      </w:pPr>
      <w:r>
        <w:t xml:space="preserve">Once all information has been validated, click </w:t>
      </w:r>
      <w:r>
        <w:rPr>
          <w:b/>
        </w:rPr>
        <w:t>Save</w:t>
      </w:r>
      <w:r>
        <w:t>. This will process the Serial Number Acquisition and post the Acquisitions to the A&amp;D Book.</w:t>
      </w:r>
      <w:r>
        <w:br/>
      </w:r>
    </w:p>
    <w:p>
      <w:r>
        <w:rPr>
          <w:b/>
          <w:sz w:val="28"/>
        </w:rPr>
        <w:t>Serializing Using Upload Transactions</w:t>
      </w:r>
      <w:r>
        <w:rPr>
          <w:b/>
          <w:sz w:val="28"/>
        </w:rPr>
        <w:br/>
      </w:r>
    </w:p>
    <w:p>
      <w:r>
        <w:t>The following instructions will show the steps for using the Upload Transactions Transaction to perform Serializations in bulk.  You will first need to click Upload Transactions under the Standard Transactions heading, select which eBound Book to upload the transactions to, then select Serialize to bring up the link to the Acquire or Dispose Template.  Download the template, then follow the instructions below.</w:t>
      </w:r>
      <w:r>
        <w:br/>
      </w:r>
    </w:p>
    <w:p>
      <w:r>
        <w:br/>
      </w:r>
    </w:p>
    <w:p>
      <w:r>
        <w:rPr>
          <w:b/>
          <w:i/>
        </w:rPr>
        <w:t>Note: This transaction requires the Acquire or Dispose Template</w:t>
      </w:r>
      <w:r>
        <w:br/>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Acquisition Date - Required</w:t>
      </w:r>
      <w:r>
        <w:t xml:space="preserve"> MM/DD/YYYY format</w:t>
      </w:r>
      <w:r>
        <w:br/>
      </w:r>
    </w:p>
    <w:p>
      <w:pPr>
        <w:pStyle w:val="ListNumber"/>
      </w:pPr>
      <w:r>
        <w:rPr>
          <w:b/>
        </w:rPr>
        <w:t>Acquisition Name</w:t>
      </w:r>
      <w:r>
        <w:br/>
      </w:r>
    </w:p>
    <w:p>
      <w:pPr>
        <w:pStyle w:val="ListNumber"/>
      </w:pPr>
      <w:r>
        <w:rPr>
          <w:b/>
        </w:rPr>
        <w:t>Acquired From FFL</w:t>
      </w:r>
      <w:r>
        <w:t xml:space="preserve"> Complete 15 character FFL, no dashes or spaces</w:t>
      </w:r>
      <w:r>
        <w:br/>
      </w:r>
    </w:p>
    <w:p>
      <w:pPr>
        <w:pStyle w:val="ListNumber"/>
      </w:pPr>
      <w:r>
        <w:rPr>
          <w:b/>
        </w:rPr>
        <w:t>Acquired From Address</w:t>
      </w:r>
      <w:r>
        <w:t xml:space="preserve"> Must match premises address as indicated on ATF issued License</w:t>
      </w:r>
      <w:r>
        <w:br/>
      </w:r>
    </w:p>
    <w:p>
      <w:pPr>
        <w:pStyle w:val="ListNumber"/>
      </w:pPr>
      <w:r>
        <w:rPr>
          <w:b/>
        </w:rPr>
        <w:t xml:space="preserve">Acquired From City </w:t>
      </w:r>
      <w:r>
        <w:t>Must match premises address as indicated on ATF issued License</w:t>
      </w:r>
      <w:r>
        <w:br/>
      </w:r>
    </w:p>
    <w:p>
      <w:pPr>
        <w:pStyle w:val="ListNumber"/>
      </w:pPr>
      <w:r>
        <w:rPr>
          <w:b/>
        </w:rPr>
        <w:t xml:space="preserve">Acquired From State </w:t>
      </w:r>
      <w:r>
        <w:t>Must match premises address as indicated on ATF issued License</w:t>
      </w:r>
      <w:r>
        <w:br/>
      </w:r>
    </w:p>
    <w:p>
      <w:pPr>
        <w:pStyle w:val="ListNumber"/>
      </w:pPr>
      <w:r>
        <w:rPr>
          <w:b/>
        </w:rPr>
        <w:t>Acquired From Zip</w:t>
      </w:r>
      <w:r>
        <w:t xml:space="preserve"> Must match premises address as indicated on ATF issued License</w:t>
      </w:r>
      <w:r>
        <w:br/>
      </w:r>
    </w:p>
    <w:p>
      <w:pPr>
        <w:pStyle w:val="ListNumber"/>
      </w:pPr>
      <w:r>
        <w:rPr>
          <w:b/>
        </w:rPr>
        <w:t>Acquired from Country</w:t>
      </w:r>
      <w:r>
        <w:t xml:space="preserve"> Must match premises address as indicated on ATF issued License</w:t>
      </w:r>
      <w:r>
        <w:br/>
      </w:r>
    </w:p>
    <w:p>
      <w:r>
        <w:rPr>
          <w:b/>
        </w:rPr>
        <w:t>THE FOLLOWING FIELDS</w:t>
      </w:r>
      <w:r>
        <w:t xml:space="preserve"> </w:t>
      </w:r>
      <w:r>
        <w:rPr>
          <w:b/>
        </w:rPr>
        <w:t>MUST BE LEFT BLANK:</w:t>
      </w:r>
    </w:p>
    <w:p>
      <w:pPr>
        <w:pStyle w:val="ListNumber"/>
      </w:pPr>
      <w:r>
        <w:rPr>
          <w:b/>
        </w:rPr>
        <w:t>Disposition Name</w:t>
      </w:r>
      <w:r>
        <w:br/>
      </w:r>
    </w:p>
    <w:p>
      <w:pPr>
        <w:pStyle w:val="ListNumber"/>
      </w:pPr>
      <w:r>
        <w:rPr>
          <w:b/>
        </w:rPr>
        <w:t>Disposed To FFL</w:t>
      </w:r>
      <w:r>
        <w:br/>
      </w:r>
    </w:p>
    <w:p>
      <w:pPr>
        <w:pStyle w:val="ListNumber"/>
      </w:pPr>
      <w:r>
        <w:rPr>
          <w:b/>
        </w:rPr>
        <w:t>Disposed To 4473 Number</w:t>
      </w:r>
      <w:r>
        <w:br/>
      </w:r>
    </w:p>
    <w:p>
      <w:pPr>
        <w:pStyle w:val="ListNumber"/>
      </w:pPr>
      <w:r>
        <w:rPr>
          <w:b/>
        </w:rPr>
        <w:t>Disposed To Address</w:t>
      </w:r>
      <w:r>
        <w:br/>
      </w:r>
    </w:p>
    <w:p>
      <w:pPr>
        <w:pStyle w:val="ListNumber"/>
      </w:pPr>
      <w:r>
        <w:rPr>
          <w:b/>
        </w:rPr>
        <w:t>Disposed To City</w:t>
      </w:r>
      <w:r>
        <w:br/>
      </w:r>
    </w:p>
    <w:p>
      <w:pPr>
        <w:pStyle w:val="ListNumber"/>
      </w:pPr>
      <w:r>
        <w:rPr>
          <w:b/>
        </w:rPr>
        <w:t>Disposed To State</w:t>
      </w:r>
      <w:r>
        <w:br/>
      </w:r>
    </w:p>
    <w:p>
      <w:pPr>
        <w:pStyle w:val="ListNumber"/>
      </w:pPr>
      <w:r>
        <w:rPr>
          <w:b/>
        </w:rPr>
        <w:t>Disposed To Zip</w:t>
      </w:r>
      <w:r>
        <w:br/>
      </w:r>
    </w:p>
    <w:p>
      <w:pPr>
        <w:pStyle w:val="ListNumber"/>
      </w:pPr>
      <w:r>
        <w:rPr>
          <w:b/>
        </w:rPr>
        <w:t>Disposed To Country</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p>
    <w:p>
      <w:r>
        <w:rPr>
          <w:b/>
          <w:sz w:val="26"/>
        </w:rPr>
        <w:t>Uploading Serialize Transactions</w:t>
      </w:r>
      <w:r>
        <w:rPr>
          <w:b/>
          <w:sz w:val="26"/>
        </w:rP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Serialize</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Serialize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p>
    <w:p>
      <w:r>
        <w:rPr>
          <w:b/>
          <w:sz w:val="26"/>
        </w:rPr>
        <w:t>Export Results of Serialize Transaction Uploads</w:t>
      </w:r>
      <w:r>
        <w:rPr>
          <w:b/>
          <w:sz w:val="26"/>
        </w:rPr>
        <w:br/>
      </w:r>
    </w:p>
    <w:p>
      <w:pPr>
        <w:pStyle w:val="ListNumber"/>
      </w:pPr>
      <w:r>
        <w:t>Selec</w:t>
      </w:r>
      <w:r>
        <w:rPr>
          <w:b/>
        </w:rPr>
        <w:t>t Upload Transactions</w:t>
      </w:r>
      <w:r>
        <w:t xml:space="preserve"> under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Serialize</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 xml:space="preserve">Open Microsoft® Excel®. </w:t>
      </w:r>
      <w:r>
        <w:br/>
      </w:r>
    </w:p>
    <w:p>
      <w:pPr>
        <w:pStyle w:val="ListNumber"/>
      </w:pPr>
      <w:r>
        <w:t xml:space="preserve">Open the </w:t>
      </w:r>
      <w:r>
        <w:rPr>
          <w:b/>
        </w:rPr>
        <w:t>Text Import Wizard</w:t>
      </w:r>
      <w:r>
        <w:t xml:space="preserve">. </w:t>
      </w:r>
      <w:r>
        <w:br/>
      </w:r>
    </w:p>
    <w:p>
      <w:pPr>
        <w:pStyle w:val="ListNumber"/>
      </w:pPr>
      <w:r>
        <w:t xml:space="preserve">When the dialog box opens prompting the User to select the file to import, select the .csv file of the eBound Book export. </w:t>
      </w:r>
      <w:r>
        <w:br/>
      </w:r>
    </w:p>
    <w:p>
      <w:pPr>
        <w:pStyle w:val="ListNumber"/>
      </w:pPr>
      <w:r>
        <w:t xml:space="preserve">Select the </w:t>
      </w:r>
      <w:r>
        <w:rPr>
          <w:b/>
        </w:rPr>
        <w:t>Delimited</w:t>
      </w:r>
      <w:r>
        <w:t xml:space="preserve"> radio button. Click Next. </w:t>
      </w:r>
      <w:r>
        <w:br/>
      </w:r>
    </w:p>
    <w:p>
      <w:pPr>
        <w:pStyle w:val="ListNumber"/>
      </w:pPr>
      <w:r>
        <w:t xml:space="preserve">In the Delimiters list, deselect the default delimiter (if applicable), and select </w:t>
      </w:r>
      <w:r>
        <w:rPr>
          <w:b/>
        </w:rPr>
        <w:t>Comma</w:t>
      </w:r>
      <w:r>
        <w:t xml:space="preserve">. Click </w:t>
      </w:r>
      <w:r>
        <w:rPr>
          <w:b/>
        </w:rPr>
        <w:t>Next</w:t>
      </w:r>
      <w:r>
        <w:t xml:space="preserve">. </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 </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Serialize Results file will contain the Import information as provided in the data upload document, as well as a Results column to indicate the results of the upload.  If the data was rejected, the specific reason will be listed in the Results column.</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Serialize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