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t>Release Q1S6.21 (04/12/21)</w:t>
      </w:r>
      <w:r>
        <w:br/>
      </w:r>
    </w:p>
    <w:p>
      <w:pPr>
        <w:jc w:val="center"/>
      </w:pPr>
      <w:r>
        <w:br/>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br/>
      </w:r>
    </w:p>
    <w:tbl>
      <w:tblPr>
        <w:tblStyle w:val="TableGrid"/>
        <w:tblW w:type="auto" w:w="0"/>
        <w:tblLook w:firstColumn="1" w:firstRow="1" w:lastColumn="0" w:lastRow="0" w:noHBand="0" w:noVBand="1" w:val="04A0"/>
      </w:tblPr>
      <w:tblGrid>
        <w:gridCol w:w="4320"/>
        <w:gridCol w:w="4320"/>
      </w:tblGrid>
      <w:tr>
        <w:tc>
          <w:tcPr>
            <w:tcW w:type="dxa" w:w="4320"/>
          </w:tcPr>
          <w:p>
            <w:r/>
            <w:r>
              <w:br/>
            </w:r>
            <w:r>
              <w:br/>
            </w:r>
            <w:r>
              <w:br/>
            </w:r>
            <w:r>
              <w:br/>
            </w:r>
            <w:r>
              <w:rPr>
                <w:b/>
              </w:rPr>
              <w:t>Q1S6.21 Release Overview</w:t>
            </w:r>
            <w:r>
              <w:br/>
            </w:r>
            <w:r>
              <w:br/>
            </w:r>
            <w:r>
              <w:br/>
            </w:r>
            <w:r>
              <w:br/>
            </w:r>
          </w:p>
        </w:tc>
        <w:tc>
          <w:tcPr>
            <w:tcW w:type="dxa" w:w="4320"/>
          </w:tcPr>
          <w:p>
            <w:r/>
            <w:r>
              <w:br/>
            </w:r>
            <w:r>
              <w:rPr>
                <w:b/>
              </w:rPr>
              <w:t>Q1S6.21 Release Overview</w:t>
            </w:r>
            <w:r>
              <w:br/>
            </w:r>
          </w:p>
        </w:tc>
      </w:tr>
      <w:tr>
        <w:tc>
          <w:tcPr>
            <w:tcW w:type="dxa" w:w="4320"/>
          </w:tcPr>
          <w:p>
            <w:r/>
            <w:r>
              <w:br/>
            </w:r>
            <w:r>
              <w:rPr>
                <w:b/>
              </w:rPr>
              <w:t>Q1S6.21 Release Overview</w:t>
            </w:r>
            <w:r>
              <w:br/>
            </w:r>
          </w:p>
        </w:tc>
        <w:tc>
          <w:tcPr>
            <w:tcW w:type="dxa" w:w="4320"/>
          </w:tcPr>
          <w:p/>
        </w:tc>
      </w:tr>
      <w:tr>
        <w:tc>
          <w:tcPr>
            <w:tcW w:type="dxa" w:w="4320"/>
          </w:tcPr>
          <w:p>
            <w:r/>
            <w:r>
              <w:br/>
            </w:r>
            <w:r>
              <w:br/>
            </w:r>
            <w:r>
              <w:br/>
            </w:r>
            <w:r>
              <w:br/>
            </w:r>
            <w:r>
              <w:t>Release Q1S6.21 includes the</w:t>
              <w:br/>
              <w:t xml:space="preserve">    first of two phases focused on an enhanced 4473 kiosk and user activity</w:t>
              <w:br/>
              <w:t xml:space="preserve">    auditing as well as the simplification of FFL validations.</w:t>
            </w:r>
            <w:r>
              <w:br/>
            </w:r>
            <w:r>
              <w:br/>
            </w:r>
            <w:r>
              <w:br/>
            </w:r>
            <w:r>
              <w:br/>
            </w:r>
          </w:p>
        </w:tc>
        <w:tc>
          <w:tcPr>
            <w:tcW w:type="dxa" w:w="4320"/>
          </w:tcPr>
          <w:p>
            <w:r/>
            <w:r>
              <w:br/>
            </w:r>
            <w:r>
              <w:t>Release Q1S6.21 includes the</w:t>
              <w:br/>
              <w:t xml:space="preserve">    first of two phases focused on an enhanced 4473 kiosk and user activity</w:t>
              <w:br/>
              <w:t xml:space="preserve">    auditing as well as the simplification of FFL validations.</w:t>
            </w:r>
            <w:r>
              <w:br/>
            </w:r>
          </w:p>
        </w:tc>
      </w:tr>
      <w:tr>
        <w:tc>
          <w:tcPr>
            <w:tcW w:type="dxa" w:w="4320"/>
          </w:tcPr>
          <w:p>
            <w:r/>
            <w:r>
              <w:br/>
            </w:r>
            <w:r>
              <w:t>Release Q1S6.21 includes the</w:t>
              <w:br/>
              <w:t xml:space="preserve">    first of two phases focused on an enhanced 4473 kiosk and user activity</w:t>
              <w:br/>
              <w:t xml:space="preserve">    auditing as well as the simplification of FFL validations.</w:t>
            </w:r>
            <w:r>
              <w:br/>
            </w:r>
          </w:p>
        </w:tc>
        <w:tc>
          <w:tcPr>
            <w:tcW w:type="dxa" w:w="4320"/>
          </w:tcPr>
          <w:p/>
        </w:tc>
      </w:tr>
      <w:tr>
        <w:tc>
          <w:tcPr>
            <w:tcW w:type="dxa" w:w="4320"/>
          </w:tcPr>
          <w:p>
            <w:r/>
            <w:r>
              <w:br/>
            </w:r>
            <w:r>
              <w:br/>
            </w:r>
            <w:r>
              <w:br/>
            </w:r>
            <w:r>
              <w:br/>
            </w:r>
            <w:r>
              <w:t xml:space="preserve">    </w:t>
            </w:r>
            <w:r>
              <w:br/>
            </w:r>
            <w:r>
              <w:br/>
            </w:r>
            <w:r>
              <w:br/>
            </w:r>
            <w:r>
              <w:br/>
            </w:r>
          </w:p>
        </w:tc>
        <w:tc>
          <w:tcPr>
            <w:tcW w:type="dxa" w:w="4320"/>
          </w:tcPr>
          <w:p>
            <w:r/>
            <w:r>
              <w:br/>
            </w:r>
            <w:r>
              <w:t xml:space="preserve">    </w:t>
            </w:r>
            <w:r>
              <w:br/>
            </w:r>
          </w:p>
        </w:tc>
      </w:tr>
      <w:tr>
        <w:tc>
          <w:tcPr>
            <w:tcW w:type="dxa" w:w="4320"/>
          </w:tcPr>
          <w:p>
            <w:r/>
            <w:r>
              <w:br/>
            </w:r>
            <w:r>
              <w:t xml:space="preserve">    </w:t>
            </w:r>
            <w:r>
              <w:br/>
            </w:r>
          </w:p>
        </w:tc>
        <w:tc>
          <w:tcPr>
            <w:tcW w:type="dxa" w:w="4320"/>
          </w:tcPr>
          <w:p/>
        </w:tc>
      </w:tr>
      <w:tr>
        <w:tc>
          <w:tcPr>
            <w:tcW w:type="dxa" w:w="4320"/>
          </w:tcPr>
          <w:p>
            <w:r/>
            <w:r>
              <w:br/>
            </w:r>
            <w:r>
              <w:br/>
            </w:r>
            <w:r>
              <w:br/>
            </w:r>
            <w:r>
              <w:br/>
            </w:r>
            <w:r>
              <w:rPr>
                <w:b/>
                <w:u w:val="single"/>
              </w:rPr>
              <w:t>4473 Kiosk Enhancement (Phase</w:t>
              <w:br/>
              <w:t xml:space="preserve">    1)</w:t>
            </w:r>
            <w:r>
              <w:br/>
            </w:r>
            <w:r>
              <w:br/>
            </w:r>
            <w:r>
              <w:br/>
            </w:r>
            <w:r>
              <w:br/>
            </w:r>
          </w:p>
        </w:tc>
        <w:tc>
          <w:tcPr>
            <w:tcW w:type="dxa" w:w="4320"/>
          </w:tcPr>
          <w:p>
            <w:r/>
            <w:r>
              <w:br/>
            </w:r>
            <w:r>
              <w:rPr>
                <w:b/>
                <w:u w:val="single"/>
              </w:rPr>
              <w:t>4473 Kiosk Enhancement (Phase</w:t>
              <w:br/>
              <w:t xml:space="preserve">    1)</w:t>
            </w:r>
            <w:r>
              <w:br/>
            </w:r>
          </w:p>
        </w:tc>
      </w:tr>
      <w:tr>
        <w:tc>
          <w:tcPr>
            <w:tcW w:type="dxa" w:w="4320"/>
          </w:tcPr>
          <w:p>
            <w:r/>
            <w:r>
              <w:br/>
            </w:r>
            <w:r>
              <w:rPr>
                <w:b/>
                <w:u w:val="single"/>
              </w:rPr>
              <w:t>4473 Kiosk Enhancement (Phase</w:t>
              <w:br/>
              <w:t xml:space="preserve">    1)</w:t>
            </w:r>
            <w:r>
              <w:br/>
            </w:r>
          </w:p>
        </w:tc>
        <w:tc>
          <w:tcPr>
            <w:tcW w:type="dxa" w:w="4320"/>
          </w:tcPr>
          <w:p/>
        </w:tc>
      </w:tr>
      <w:tr>
        <w:tc>
          <w:tcPr>
            <w:tcW w:type="dxa" w:w="4320"/>
          </w:tcPr>
          <w:p>
            <w:r/>
            <w:r>
              <w:br/>
            </w:r>
            <w:r>
              <w:br/>
            </w:r>
            <w:r>
              <w:br/>
            </w:r>
            <w:r>
              <w:br/>
            </w:r>
            <w:r>
              <w:t>Previously,</w:t>
              <w:br/>
              <w:t xml:space="preserve">    FFLs seeking to use the 4473 kiosk mode were required to login to the kiosk</w:t>
              <w:br/>
              <w:t xml:space="preserve">    screen at the beginning of each day. And, upon completion of Section A of</w:t>
              <w:br/>
              <w:t xml:space="preserve">    the 4473 the FFL would provide its customer with a private and random kiosk</w:t>
              <w:br/>
              <w:t xml:space="preserve">    “code.” Unfortunately, the FFL’s initial login only connected the kiosk to</w:t>
              <w:br/>
              <w:t xml:space="preserve">    their default book creating a challenge for multi-book retail operations.</w:t>
            </w:r>
            <w:r>
              <w:br/>
            </w:r>
            <w:r>
              <w:t xml:space="preserve"> </w:t>
            </w:r>
            <w:r>
              <w:br/>
            </w:r>
            <w:r>
              <w:t>With</w:t>
              <w:br/>
              <w:t xml:space="preserve">    this release the customer kiosk “code” directly links the customer to the</w:t>
              <w:br/>
              <w:t xml:space="preserve">    Section B of the 4473 regardless of which bound book was set as default.</w:t>
            </w:r>
            <w:r>
              <w:br/>
            </w:r>
            <w:r>
              <w:t xml:space="preserve"> </w:t>
            </w:r>
            <w:r>
              <w:br/>
            </w:r>
            <w:r>
              <w:t>In</w:t>
              <w:br/>
              <w:t xml:space="preserve">    Phase 2, we will be providing FFLs with both a customer text and print</w:t>
              <w:br/>
              <w:t xml:space="preserve">    feature for sharing the kiosk “code” with its customers.</w:t>
            </w:r>
            <w:r>
              <w:br/>
            </w:r>
            <w:r>
              <w:br/>
            </w:r>
            <w:r>
              <w:br/>
            </w:r>
            <w:r>
              <w:br/>
            </w:r>
          </w:p>
        </w:tc>
        <w:tc>
          <w:tcPr>
            <w:tcW w:type="dxa" w:w="4320"/>
          </w:tcPr>
          <w:p>
            <w:r/>
            <w:r>
              <w:br/>
            </w:r>
            <w:r>
              <w:t>Previously,</w:t>
              <w:br/>
              <w:t xml:space="preserve">    FFLs seeking to use the 4473 kiosk mode were required to login to the kiosk</w:t>
              <w:br/>
              <w:t xml:space="preserve">    screen at the beginning of each day. And, upon completion of Section A of</w:t>
              <w:br/>
              <w:t xml:space="preserve">    the 4473 the FFL would provide its customer with a private and random kiosk</w:t>
              <w:br/>
              <w:t xml:space="preserve">    “code.” Unfortunately, the FFL’s initial login only connected the kiosk to</w:t>
              <w:br/>
              <w:t xml:space="preserve">    their default book creating a challenge for multi-book retail operations.</w:t>
            </w:r>
            <w:r>
              <w:br/>
            </w:r>
            <w:r>
              <w:t xml:space="preserve"> </w:t>
            </w:r>
            <w:r>
              <w:br/>
            </w:r>
            <w:r>
              <w:t>With</w:t>
              <w:br/>
              <w:t xml:space="preserve">    this release the customer kiosk “code” directly links the customer to the</w:t>
              <w:br/>
              <w:t xml:space="preserve">    Section B of the 4473 regardless of which bound book was set as default.</w:t>
            </w:r>
            <w:r>
              <w:br/>
            </w:r>
            <w:r>
              <w:t xml:space="preserve"> </w:t>
            </w:r>
            <w:r>
              <w:br/>
            </w:r>
            <w:r>
              <w:t>In</w:t>
              <w:br/>
              <w:t xml:space="preserve">    Phase 2, we will be providing FFLs with both a customer text and print</w:t>
              <w:br/>
              <w:t xml:space="preserve">    feature for sharing the kiosk “code” with its customers.</w:t>
            </w:r>
            <w:r>
              <w:br/>
            </w:r>
          </w:p>
        </w:tc>
      </w:tr>
      <w:tr>
        <w:tc>
          <w:tcPr>
            <w:tcW w:type="dxa" w:w="4320"/>
          </w:tcPr>
          <w:p>
            <w:r/>
            <w:r>
              <w:br/>
            </w:r>
            <w:r>
              <w:t>Previously,</w:t>
              <w:br/>
              <w:t xml:space="preserve">    FFLs seeking to use the 4473 kiosk mode were required to login to the kiosk</w:t>
              <w:br/>
              <w:t xml:space="preserve">    screen at the beginning of each day. And, upon completion of Section A of</w:t>
              <w:br/>
              <w:t xml:space="preserve">    the 4473 the FFL would provide its customer with a private and random kiosk</w:t>
              <w:br/>
              <w:t xml:space="preserve">    “code.” Unfortunately, the FFL’s initial login only connected the kiosk to</w:t>
              <w:br/>
              <w:t xml:space="preserve">    their default book creating a challenge for multi-book retail operations.</w:t>
            </w:r>
            <w:r>
              <w:br/>
            </w:r>
            <w:r>
              <w:t xml:space="preserve"> </w:t>
            </w:r>
            <w:r>
              <w:br/>
            </w:r>
            <w:r>
              <w:t>With</w:t>
              <w:br/>
              <w:t xml:space="preserve">    this release the customer kiosk “code” directly links the customer to the</w:t>
              <w:br/>
              <w:t xml:space="preserve">    Section B of the 4473 regardless of which bound book was set as default.</w:t>
            </w:r>
            <w:r>
              <w:br/>
            </w:r>
            <w:r>
              <w:t xml:space="preserve"> </w:t>
            </w:r>
            <w:r>
              <w:br/>
            </w:r>
            <w:r>
              <w:t>In</w:t>
              <w:br/>
              <w:t xml:space="preserve">    Phase 2, we will be providing FFLs with both a customer text and print</w:t>
              <w:br/>
              <w:t xml:space="preserve">    feature for sharing the kiosk “code” with its customers.</w:t>
            </w:r>
            <w:r>
              <w:br/>
            </w:r>
          </w:p>
        </w:tc>
        <w:tc>
          <w:tcPr>
            <w:tcW w:type="dxa" w:w="4320"/>
          </w:tcPr>
          <w:p/>
        </w:tc>
      </w:tr>
      <w:tr>
        <w:tc>
          <w:tcPr>
            <w:tcW w:type="dxa" w:w="4320"/>
          </w:tcPr>
          <w:p>
            <w:r/>
            <w:r>
              <w:br/>
            </w:r>
            <w:r>
              <w:br/>
            </w:r>
            <w:r>
              <w:br/>
            </w:r>
            <w:r>
              <w:br/>
            </w:r>
            <w:r>
              <w:t xml:space="preserve">    </w:t>
            </w:r>
            <w:r>
              <w:br/>
            </w:r>
            <w:r>
              <w:br/>
            </w:r>
            <w:r>
              <w:br/>
            </w:r>
            <w:r>
              <w:br/>
            </w:r>
          </w:p>
        </w:tc>
        <w:tc>
          <w:tcPr>
            <w:tcW w:type="dxa" w:w="4320"/>
          </w:tcPr>
          <w:p>
            <w:r/>
            <w:r>
              <w:br/>
            </w:r>
            <w:r>
              <w:t xml:space="preserve">    </w:t>
            </w:r>
            <w:r>
              <w:br/>
            </w:r>
          </w:p>
        </w:tc>
      </w:tr>
      <w:tr>
        <w:tc>
          <w:tcPr>
            <w:tcW w:type="dxa" w:w="4320"/>
          </w:tcPr>
          <w:p>
            <w:r/>
            <w:r>
              <w:br/>
            </w:r>
            <w:r>
              <w:t xml:space="preserve">    </w:t>
            </w:r>
            <w:r>
              <w:br/>
            </w:r>
          </w:p>
        </w:tc>
        <w:tc>
          <w:tcPr>
            <w:tcW w:type="dxa" w:w="4320"/>
          </w:tcPr>
          <w:p/>
        </w:tc>
      </w:tr>
      <w:tr>
        <w:tc>
          <w:tcPr>
            <w:tcW w:type="dxa" w:w="4320"/>
          </w:tcPr>
          <w:p>
            <w:r/>
            <w:r>
              <w:br/>
            </w:r>
            <w:r>
              <w:br/>
            </w:r>
            <w:r>
              <w:br/>
            </w:r>
            <w:r>
              <w:br/>
            </w:r>
            <w:r>
              <w:rPr>
                <w:b/>
                <w:u w:val="single"/>
              </w:rPr>
              <w:t>User Access Auditing (Phase</w:t>
              <w:br/>
              <w:t xml:space="preserve">    1) </w:t>
            </w:r>
            <w:r>
              <w:br/>
            </w:r>
            <w:r>
              <w:br/>
            </w:r>
            <w:r>
              <w:br/>
            </w:r>
            <w:r>
              <w:br/>
            </w:r>
          </w:p>
        </w:tc>
        <w:tc>
          <w:tcPr>
            <w:tcW w:type="dxa" w:w="4320"/>
          </w:tcPr>
          <w:p>
            <w:r/>
            <w:r>
              <w:br/>
            </w:r>
            <w:r>
              <w:rPr>
                <w:b/>
                <w:u w:val="single"/>
              </w:rPr>
              <w:t>User Access Auditing (Phase</w:t>
              <w:br/>
              <w:t xml:space="preserve">    1) </w:t>
            </w:r>
            <w:r>
              <w:br/>
            </w:r>
          </w:p>
        </w:tc>
      </w:tr>
      <w:tr>
        <w:tc>
          <w:tcPr>
            <w:tcW w:type="dxa" w:w="4320"/>
          </w:tcPr>
          <w:p>
            <w:r/>
            <w:r>
              <w:br/>
            </w:r>
            <w:r>
              <w:rPr>
                <w:b/>
                <w:u w:val="single"/>
              </w:rPr>
              <w:t>User Access Auditing (Phase</w:t>
              <w:br/>
              <w:t xml:space="preserve">    1) </w:t>
            </w:r>
            <w:r>
              <w:br/>
            </w:r>
          </w:p>
        </w:tc>
        <w:tc>
          <w:tcPr>
            <w:tcW w:type="dxa" w:w="4320"/>
          </w:tcPr>
          <w:p/>
        </w:tc>
      </w:tr>
      <w:tr>
        <w:tc>
          <w:tcPr>
            <w:tcW w:type="dxa" w:w="4320"/>
          </w:tcPr>
          <w:p>
            <w:r/>
            <w:r>
              <w:br/>
            </w:r>
            <w:r>
              <w:br/>
            </w:r>
            <w:r>
              <w:br/>
            </w:r>
            <w:r>
              <w:br/>
            </w:r>
            <w:r>
              <w:t>When a user makes a change to a record</w:t>
              <w:br/>
              <w:t xml:space="preserve">    using "Corrections Log", Orchid eBound will now retain the</w:t>
              <w:br/>
              <w:t xml:space="preserve">    username and date. The username and date is present on each of the</w:t>
              <w:br/>
              <w:t xml:space="preserve">    corrections, located both inside of the Corrections Log (report) and on the</w:t>
              <w:br/>
              <w:t xml:space="preserve">    Item Detail screen. Additionally, we’ve added a search bar so that you can</w:t>
              <w:br/>
              <w:t xml:space="preserve">    search for corrections by user. </w:t>
            </w:r>
            <w:r>
              <w:br/>
            </w:r>
            <w:r>
              <w:t xml:space="preserve"> </w:t>
            </w:r>
            <w:r>
              <w:br/>
            </w:r>
            <w:r>
              <w:t>In Phase 2 we’ll be adding similar features</w:t>
              <w:br/>
              <w:t xml:space="preserve">    to all other Orchid eBound transactions. </w:t>
            </w:r>
            <w:r>
              <w:br/>
            </w:r>
            <w:r>
              <w:br/>
            </w:r>
            <w:r>
              <w:br/>
            </w:r>
            <w:r>
              <w:br/>
            </w:r>
          </w:p>
        </w:tc>
        <w:tc>
          <w:tcPr>
            <w:tcW w:type="dxa" w:w="4320"/>
          </w:tcPr>
          <w:p>
            <w:r/>
            <w:r>
              <w:br/>
            </w:r>
            <w:r>
              <w:t>When a user makes a change to a record</w:t>
              <w:br/>
              <w:t xml:space="preserve">    using "Corrections Log", Orchid eBound will now retain the</w:t>
              <w:br/>
              <w:t xml:space="preserve">    username and date. The username and date is present on each of the</w:t>
              <w:br/>
              <w:t xml:space="preserve">    corrections, located both inside of the Corrections Log (report) and on the</w:t>
              <w:br/>
              <w:t xml:space="preserve">    Item Detail screen. Additionally, we’ve added a search bar so that you can</w:t>
              <w:br/>
              <w:t xml:space="preserve">    search for corrections by user. </w:t>
            </w:r>
            <w:r>
              <w:br/>
            </w:r>
            <w:r>
              <w:t xml:space="preserve"> </w:t>
            </w:r>
            <w:r>
              <w:br/>
            </w:r>
            <w:r>
              <w:t>In Phase 2 we’ll be adding similar features</w:t>
              <w:br/>
              <w:t xml:space="preserve">    to all other Orchid eBound transactions. </w:t>
            </w:r>
            <w:r>
              <w:br/>
            </w:r>
          </w:p>
        </w:tc>
      </w:tr>
      <w:tr>
        <w:tc>
          <w:tcPr>
            <w:tcW w:type="dxa" w:w="4320"/>
          </w:tcPr>
          <w:p>
            <w:r/>
            <w:r>
              <w:br/>
            </w:r>
            <w:r>
              <w:t>When a user makes a change to a record</w:t>
              <w:br/>
              <w:t xml:space="preserve">    using "Corrections Log", Orchid eBound will now retain the</w:t>
              <w:br/>
              <w:t xml:space="preserve">    username and date. The username and date is present on each of the</w:t>
              <w:br/>
              <w:t xml:space="preserve">    corrections, located both inside of the Corrections Log (report) and on the</w:t>
              <w:br/>
              <w:t xml:space="preserve">    Item Detail screen. Additionally, we’ve added a search bar so that you can</w:t>
              <w:br/>
              <w:t xml:space="preserve">    search for corrections by user. </w:t>
            </w:r>
            <w:r>
              <w:br/>
            </w:r>
            <w:r>
              <w:t xml:space="preserve"> </w:t>
            </w:r>
            <w:r>
              <w:br/>
            </w:r>
            <w:r>
              <w:t>In Phase 2 we’ll be adding similar features</w:t>
              <w:br/>
              <w:t xml:space="preserve">    to all other Orchid eBound transactions. </w:t>
            </w:r>
            <w:r>
              <w:br/>
            </w:r>
          </w:p>
        </w:tc>
        <w:tc>
          <w:tcPr>
            <w:tcW w:type="dxa" w:w="4320"/>
          </w:tcPr>
          <w:p/>
        </w:tc>
      </w:tr>
      <w:tr>
        <w:tc>
          <w:tcPr>
            <w:tcW w:type="dxa" w:w="4320"/>
          </w:tcPr>
          <w:p>
            <w:r/>
            <w:r>
              <w:br/>
            </w:r>
            <w:r>
              <w:br/>
            </w:r>
            <w:r>
              <w:br/>
            </w:r>
            <w:r>
              <w:br/>
            </w:r>
            <w:r>
              <w:t xml:space="preserve">    </w:t>
            </w:r>
            <w:r>
              <w:br/>
            </w:r>
            <w:r>
              <w:br/>
            </w:r>
            <w:r>
              <w:br/>
            </w:r>
            <w:r>
              <w:br/>
            </w:r>
          </w:p>
        </w:tc>
        <w:tc>
          <w:tcPr>
            <w:tcW w:type="dxa" w:w="4320"/>
          </w:tcPr>
          <w:p>
            <w:r/>
            <w:r>
              <w:br/>
            </w:r>
            <w:r>
              <w:t xml:space="preserve">    </w:t>
            </w:r>
            <w:r>
              <w:br/>
            </w:r>
          </w:p>
        </w:tc>
      </w:tr>
      <w:tr>
        <w:tc>
          <w:tcPr>
            <w:tcW w:type="dxa" w:w="4320"/>
          </w:tcPr>
          <w:p>
            <w:r/>
            <w:r>
              <w:br/>
            </w:r>
            <w:r>
              <w:t xml:space="preserve">    </w:t>
            </w:r>
            <w:r>
              <w:br/>
            </w:r>
          </w:p>
        </w:tc>
        <w:tc>
          <w:tcPr>
            <w:tcW w:type="dxa" w:w="4320"/>
          </w:tcPr>
          <w:p/>
        </w:tc>
      </w:tr>
      <w:tr>
        <w:tc>
          <w:tcPr>
            <w:tcW w:type="dxa" w:w="4320"/>
          </w:tcPr>
          <w:p>
            <w:r/>
            <w:r>
              <w:br/>
            </w:r>
            <w:r>
              <w:br/>
            </w:r>
            <w:r>
              <w:br/>
            </w:r>
            <w:r>
              <w:br/>
            </w:r>
            <w:r>
              <w:rPr>
                <w:b/>
                <w:u w:val="single"/>
              </w:rPr>
              <w:t>Remove eBound Validations of</w:t>
              <w:br/>
              <w:t xml:space="preserve">    FFL "Currency" in API and Upload Methods</w:t>
            </w:r>
            <w:r>
              <w:br/>
            </w:r>
            <w:r>
              <w:br/>
            </w:r>
            <w:r>
              <w:br/>
            </w:r>
            <w:r>
              <w:br/>
            </w:r>
          </w:p>
        </w:tc>
        <w:tc>
          <w:tcPr>
            <w:tcW w:type="dxa" w:w="4320"/>
          </w:tcPr>
          <w:p>
            <w:r/>
            <w:r>
              <w:br/>
            </w:r>
            <w:r>
              <w:rPr>
                <w:b/>
                <w:u w:val="single"/>
              </w:rPr>
              <w:t>Remove eBound Validations of</w:t>
              <w:br/>
              <w:t xml:space="preserve">    FFL "Currency" in API and Upload Methods</w:t>
            </w:r>
            <w:r>
              <w:br/>
            </w:r>
          </w:p>
        </w:tc>
      </w:tr>
      <w:tr>
        <w:tc>
          <w:tcPr>
            <w:tcW w:type="dxa" w:w="4320"/>
          </w:tcPr>
          <w:p>
            <w:r/>
            <w:r>
              <w:br/>
            </w:r>
            <w:r>
              <w:rPr>
                <w:b/>
                <w:u w:val="single"/>
              </w:rPr>
              <w:t>Remove eBound Validations of</w:t>
              <w:br/>
              <w:t xml:space="preserve">    FFL "Currency" in API and Upload Methods</w:t>
            </w:r>
            <w:r>
              <w:br/>
            </w:r>
          </w:p>
        </w:tc>
        <w:tc>
          <w:tcPr>
            <w:tcW w:type="dxa" w:w="4320"/>
          </w:tcPr>
          <w:p/>
        </w:tc>
      </w:tr>
      <w:tr>
        <w:tc>
          <w:tcPr>
            <w:tcW w:type="dxa" w:w="4320"/>
          </w:tcPr>
          <w:p>
            <w:r/>
            <w:r>
              <w:br/>
            </w:r>
            <w:r>
              <w:br/>
            </w:r>
            <w:r>
              <w:br/>
            </w:r>
            <w:r>
              <w:br/>
            </w:r>
            <w:r>
              <w:t>Previously, Orchid eBound’s API and bulk</w:t>
              <w:br/>
              <w:t xml:space="preserve">    transaction uploads checked for the validity of an FFL license date and</w:t>
              <w:br/>
              <w:t xml:space="preserve">    would not permit a customer to proceed if the license was expired. This</w:t>
              <w:br/>
              <w:t xml:space="preserve">    occurs in all API transactions and in all excel file uploads. </w:t>
            </w:r>
            <w:r>
              <w:br/>
            </w:r>
            <w:r>
              <w:t xml:space="preserve"> </w:t>
            </w:r>
            <w:r>
              <w:br/>
            </w:r>
            <w:r>
              <w:t>Several customers had requested the removal</w:t>
              <w:br/>
              <w:t xml:space="preserve">    of this “over control” as it was causing the unnecessary resubmission of</w:t>
              <w:br/>
              <w:t xml:space="preserve">    transactions. Their rational was that the ATF does permit licensees to</w:t>
              <w:br/>
              <w:t xml:space="preserve">    continue acquiring and disposing of firearms after license expiration with</w:t>
              <w:br/>
              <w:t xml:space="preserve">    the presence of a "Letter of Authorization"</w:t>
              <w:br/>
              <w:t xml:space="preserve">    (LOA).  Please note that the control was only removed from the</w:t>
              <w:br/>
              <w:t xml:space="preserve">    API and bulk uploads. All other transactions performed in the user</w:t>
              <w:br/>
              <w:t xml:space="preserve">    interface were left unaltered. And, in all cases, Orchid eBound continues</w:t>
              <w:br/>
              <w:t xml:space="preserve">    to check for: (1) the presence of an FFL number; and (2) that the FFL meets</w:t>
              <w:br/>
              <w:t xml:space="preserve">    the proper character string length/format.</w:t>
            </w:r>
            <w:r>
              <w:br/>
            </w:r>
            <w:r>
              <w:br/>
            </w:r>
            <w:r>
              <w:br/>
            </w:r>
            <w:r>
              <w:br/>
            </w:r>
          </w:p>
        </w:tc>
        <w:tc>
          <w:tcPr>
            <w:tcW w:type="dxa" w:w="4320"/>
          </w:tcPr>
          <w:p>
            <w:r/>
            <w:r>
              <w:br/>
            </w:r>
            <w:r>
              <w:t>Previously, Orchid eBound’s API and bulk</w:t>
              <w:br/>
              <w:t xml:space="preserve">    transaction uploads checked for the validity of an FFL license date and</w:t>
              <w:br/>
              <w:t xml:space="preserve">    would not permit a customer to proceed if the license was expired. This</w:t>
              <w:br/>
              <w:t xml:space="preserve">    occurs in all API transactions and in all excel file uploads. </w:t>
            </w:r>
            <w:r>
              <w:br/>
            </w:r>
            <w:r>
              <w:t xml:space="preserve"> </w:t>
            </w:r>
            <w:r>
              <w:br/>
            </w:r>
            <w:r>
              <w:t>Several customers had requested the removal</w:t>
              <w:br/>
              <w:t xml:space="preserve">    of this “over control” as it was causing the unnecessary resubmission of</w:t>
              <w:br/>
              <w:t xml:space="preserve">    transactions. Their rational was that the ATF does permit licensees to</w:t>
              <w:br/>
              <w:t xml:space="preserve">    continue acquiring and disposing of firearms after license expiration with</w:t>
              <w:br/>
              <w:t xml:space="preserve">    the presence of a "Letter of Authorization"</w:t>
              <w:br/>
              <w:t xml:space="preserve">    (LOA).  Please note that the control was only removed from the</w:t>
              <w:br/>
              <w:t xml:space="preserve">    API and bulk uploads. All other transactions performed in the user</w:t>
              <w:br/>
              <w:t xml:space="preserve">    interface were left unaltered. And, in all cases, Orchid eBound continues</w:t>
              <w:br/>
              <w:t xml:space="preserve">    to check for: (1) the presence of an FFL number; and (2) that the FFL meets</w:t>
              <w:br/>
              <w:t xml:space="preserve">    the proper character string length/format.</w:t>
            </w:r>
            <w:r>
              <w:br/>
            </w:r>
          </w:p>
        </w:tc>
      </w:tr>
      <w:tr>
        <w:tc>
          <w:tcPr>
            <w:tcW w:type="dxa" w:w="4320"/>
          </w:tcPr>
          <w:p>
            <w:r/>
            <w:r>
              <w:br/>
            </w:r>
            <w:r>
              <w:t>Previously, Orchid eBound’s API and bulk</w:t>
              <w:br/>
              <w:t xml:space="preserve">    transaction uploads checked for the validity of an FFL license date and</w:t>
              <w:br/>
              <w:t xml:space="preserve">    would not permit a customer to proceed if the license was expired. This</w:t>
              <w:br/>
              <w:t xml:space="preserve">    occurs in all API transactions and in all excel file uploads. </w:t>
            </w:r>
            <w:r>
              <w:br/>
            </w:r>
            <w:r>
              <w:t xml:space="preserve"> </w:t>
            </w:r>
            <w:r>
              <w:br/>
            </w:r>
            <w:r>
              <w:t>Several customers had requested the removal</w:t>
              <w:br/>
              <w:t xml:space="preserve">    of this “over control” as it was causing the unnecessary resubmission of</w:t>
              <w:br/>
              <w:t xml:space="preserve">    transactions. Their rational was that the ATF does permit licensees to</w:t>
              <w:br/>
              <w:t xml:space="preserve">    continue acquiring and disposing of firearms after license expiration with</w:t>
              <w:br/>
              <w:t xml:space="preserve">    the presence of a "Letter of Authorization"</w:t>
              <w:br/>
              <w:t xml:space="preserve">    (LOA).  Please note that the control was only removed from the</w:t>
              <w:br/>
              <w:t xml:space="preserve">    API and bulk uploads. All other transactions performed in the user</w:t>
              <w:br/>
              <w:t xml:space="preserve">    interface were left unaltered. And, in all cases, Orchid eBound continues</w:t>
              <w:br/>
              <w:t xml:space="preserve">    to check for: (1) the presence of an FFL number; and (2) that the FFL meets</w:t>
              <w:br/>
              <w:t xml:space="preserve">    the proper character string length/format.</w:t>
            </w:r>
            <w:r>
              <w:br/>
            </w:r>
          </w:p>
        </w:tc>
        <w:tc>
          <w:tcPr>
            <w:tcW w:type="dxa" w:w="4320"/>
          </w:tcPr>
          <w:p/>
        </w:tc>
      </w:tr>
      <w:tr>
        <w:tc>
          <w:tcPr>
            <w:tcW w:type="dxa" w:w="4320"/>
          </w:tcPr>
          <w:p>
            <w:r/>
            <w:r>
              <w:br/>
            </w:r>
            <w:r>
              <w:br/>
            </w:r>
            <w:r>
              <w:br/>
            </w:r>
            <w:r>
              <w:br/>
            </w:r>
            <w:r>
              <w:t xml:space="preserve">    </w:t>
            </w:r>
            <w:r>
              <w:br/>
            </w:r>
            <w:r>
              <w:br/>
            </w:r>
            <w:r>
              <w:br/>
            </w:r>
            <w:r>
              <w:br/>
            </w:r>
          </w:p>
        </w:tc>
        <w:tc>
          <w:tcPr>
            <w:tcW w:type="dxa" w:w="4320"/>
          </w:tcPr>
          <w:p>
            <w:r/>
            <w:r>
              <w:br/>
            </w:r>
            <w:r>
              <w:t xml:space="preserve">    </w:t>
            </w:r>
            <w:r>
              <w:br/>
            </w:r>
          </w:p>
        </w:tc>
      </w:tr>
      <w:tr>
        <w:tc>
          <w:tcPr>
            <w:tcW w:type="dxa" w:w="4320"/>
          </w:tcPr>
          <w:p>
            <w:r/>
            <w:r>
              <w:br/>
            </w:r>
            <w:r>
              <w:t xml:space="preserve">    </w:t>
            </w:r>
            <w:r>
              <w:br/>
            </w:r>
          </w:p>
        </w:tc>
        <w:tc>
          <w:tcPr>
            <w:tcW w:type="dxa" w:w="4320"/>
          </w:tcPr>
          <w:p/>
        </w:tc>
      </w:tr>
      <w:tr>
        <w:tc>
          <w:tcPr>
            <w:tcW w:type="dxa" w:w="4320"/>
          </w:tcPr>
          <w:p>
            <w:r/>
            <w:r>
              <w:br/>
            </w:r>
            <w:r>
              <w:br/>
            </w:r>
            <w:r>
              <w:br/>
            </w:r>
            <w:r>
              <w:br/>
            </w:r>
            <w:r>
              <w:t>For more information please</w:t>
              <w:br/>
              <w:t xml:space="preserve">    submit inquires through the </w:t>
            </w:r>
            <w:r>
              <w:t>Orchid</w:t>
              <w:br/>
              <w:t xml:space="preserve">    Software Portal</w:t>
            </w:r>
            <w:r>
              <w:t xml:space="preserve"> </w:t>
            </w:r>
            <w:r>
              <w:t xml:space="preserve">ticketing system. </w:t>
            </w:r>
            <w:r>
              <w:br/>
            </w:r>
            <w:r>
              <w:br/>
            </w:r>
            <w:r>
              <w:br/>
            </w:r>
            <w:r>
              <w:br/>
            </w:r>
          </w:p>
        </w:tc>
        <w:tc>
          <w:tcPr>
            <w:tcW w:type="dxa" w:w="4320"/>
          </w:tcPr>
          <w:p>
            <w:r/>
            <w:r>
              <w:br/>
            </w:r>
            <w:r>
              <w:t>For more information please</w:t>
              <w:br/>
              <w:t xml:space="preserve">    submit inquires through the </w:t>
            </w:r>
            <w:r>
              <w:t>Orchid</w:t>
              <w:br/>
              <w:t xml:space="preserve">    Software Portal</w:t>
            </w:r>
            <w:r>
              <w:t xml:space="preserve"> </w:t>
            </w:r>
            <w:r>
              <w:t xml:space="preserve">ticketing system. </w:t>
            </w:r>
            <w:r>
              <w:br/>
            </w:r>
          </w:p>
        </w:tc>
      </w:tr>
      <w:tr>
        <w:tc>
          <w:tcPr>
            <w:tcW w:type="dxa" w:w="4320"/>
          </w:tcPr>
          <w:p>
            <w:r/>
            <w:r>
              <w:br/>
            </w:r>
            <w:r>
              <w:t>For more information please</w:t>
              <w:br/>
              <w:t xml:space="preserve">    submit inquires through the </w:t>
            </w:r>
            <w:r>
              <w:t>Orchid</w:t>
              <w:br/>
              <w:t xml:space="preserve">    Software Portal</w:t>
            </w:r>
            <w:r>
              <w:t xml:space="preserve"> </w:t>
            </w:r>
            <w:r>
              <w:t xml:space="preserve">ticketing system. </w:t>
            </w:r>
            <w:r>
              <w:br/>
            </w:r>
          </w:p>
        </w:tc>
        <w:tc>
          <w:tcPr>
            <w:tcW w:type="dxa" w:w="4320"/>
          </w:tcP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Q1S6.21 Release Notes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