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pPr>
        <w:jc w:val="center"/>
      </w:pPr>
      <w:r>
        <w:br/>
      </w:r>
    </w:p>
    <w:p>
      <w:r>
        <w:rPr>
          <w:b/>
          <w:sz w:val="32"/>
        </w:rPr>
        <w:t xml:space="preserve">AFMER / Firearm Manufacturing Reports </w:t>
      </w:r>
    </w:p>
    <w:p>
      <w:r>
        <w:br/>
      </w:r>
    </w:p>
    <w:p>
      <w:r>
        <w:br/>
      </w:r>
    </w:p>
    <w:p>
      <w:r>
        <w:rPr>
          <w:b/>
        </w:rPr>
        <w:t>Do manufacturers have to provide ATF information on what firearms they manufacture?</w:t>
      </w:r>
      <w:r>
        <w:br/>
      </w:r>
    </w:p>
    <w:p>
      <w:r>
        <w:t xml:space="preserve">Manufacturers must file with ATF the Annual Firearms Manufacturing and Exportation Report by April 1 of every year </w:t>
      </w:r>
      <w:r>
        <w:rPr>
          <w:i/>
        </w:rPr>
        <w:t>even if</w:t>
      </w:r>
      <w:r>
        <w:t xml:space="preserve"> they do not manufacture any firearms.  This report may be mailed to ATF or filed in the eForms system.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AFMER / Firearm Manufacturing Reports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