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</w:p>
    <w:p>
      <w:pPr>
        <w:jc w:val="center"/>
      </w:pPr>
      <w:r>
        <w:br/>
      </w:r>
    </w:p>
    <w:p>
      <w:pPr>
        <w:jc w:val="center"/>
      </w:pPr>
      <w:r>
        <w:rPr>
          <w:b/>
        </w:rPr>
        <w:t>Available November 19th, 2024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  <w:r>
        <w:br/>
      </w:r>
    </w:p>
    <w:p>
      <w:r>
        <w:br/>
      </w:r>
    </w:p>
    <w:p/>
    <w:p>
      <w:r>
        <w:rPr>
          <w:b/>
          <w:sz w:val="28"/>
        </w:rPr>
        <w:t>Orchid eState</w:t>
      </w:r>
    </w:p>
    <w:p>
      <w:r>
        <w:rPr>
          <w:b/>
        </w:rPr>
        <w:t>Expanded UPC Catalog</w:t>
      </w:r>
      <w:r>
        <w:br/>
      </w:r>
    </w:p>
    <w:p>
      <w:r>
        <w:t xml:space="preserve">Our UPC catalog now includes </w:t>
      </w:r>
      <w:r>
        <w:rPr>
          <w:b/>
        </w:rPr>
        <w:t>42,000 active entries</w:t>
      </w:r>
      <w:r>
        <w:t xml:space="preserve"> for firearms, magazines, and suppressors. We’re actively developing </w:t>
      </w:r>
      <w:r>
        <w:rPr>
          <w:b/>
        </w:rPr>
        <w:t>ammunition logic</w:t>
      </w:r>
      <w:r>
        <w:t xml:space="preserve">, anticipated to go live before the </w:t>
      </w:r>
      <w:r>
        <w:rPr>
          <w:b/>
        </w:rPr>
        <w:t>SHOT Show 2025</w:t>
      </w:r>
      <w:r>
        <w:t>.</w:t>
      </w:r>
    </w:p>
    <w:p>
      <w:r>
        <w:br/>
      </w:r>
    </w:p>
    <w:p>
      <w:r>
        <w:rPr>
          <w:b/>
          <w:sz w:val="28"/>
        </w:rPr>
        <w:t>Orchid eBound</w:t>
      </w:r>
    </w:p>
    <w:p>
      <w:r>
        <w:rPr>
          <w:b/>
        </w:rPr>
        <w:t>New Process Flow and Warning for Serial Numbers Reserved to a Firearm</w:t>
      </w:r>
    </w:p>
    <w:p/>
    <w:p>
      <w:r>
        <w:t xml:space="preserve">Previously, a Serial Number could be ‘released’ from a 4473 had it accidentally been assigned. However, the latest ATF ruling requires that if a 4473 has been started, it must be retained, even if only Section A had been completed. Therefore, we have removed the “Release Serial Number” feature from the Item Detail screen and implemented a new popup should the user attempt to transact with a serial number that has been assigned to a different 4473. That popup requires the user to remove the serial number and close the 4473 with a void / no-sale transaction. </w:t>
      </w:r>
    </w:p>
    <w:p/>
    <w:p/>
    <w:p/>
    <w:p>
      <w:r>
        <w:br/>
      </w:r>
    </w:p>
    <w:p/>
    <w:p>
      <w:r>
        <w:rPr>
          <w:b/>
        </w:rPr>
        <w:t>Consistent Transfer Report Naming</w:t>
      </w:r>
    </w:p>
    <w:p/>
    <w:p>
      <w:r>
        <w:t xml:space="preserve">The “Transfer Report” now standardizes the name for </w:t>
      </w:r>
      <w:r>
        <w:rPr>
          <w:b/>
        </w:rPr>
        <w:t>FFL Transfers</w:t>
      </w:r>
      <w:r>
        <w:t xml:space="preserve"> and </w:t>
      </w:r>
      <w:r>
        <w:rPr>
          <w:b/>
        </w:rPr>
        <w:t>Exempt Shipping Manifests</w:t>
      </w:r>
      <w:r>
        <w:t xml:space="preserve">. Users can also toggle barcode inclusion by serial number in the </w:t>
      </w:r>
      <w:r>
        <w:rPr>
          <w:b/>
        </w:rPr>
        <w:t>Account Settings</w:t>
      </w:r>
      <w:r>
        <w:t>.</w:t>
      </w:r>
    </w:p>
    <w:p/>
    <w:p/>
    <w:p/>
    <w:p>
      <w:r>
        <w:t xml:space="preserve"> </w:t>
      </w:r>
    </w:p>
    <w:p/>
    <w:p>
      <w:r>
        <w:rPr>
          <w:b/>
        </w:rPr>
        <w:t>Consumer State vs. FFL State Warning</w:t>
      </w:r>
    </w:p>
    <w:p/>
    <w:p>
      <w:r>
        <w:t xml:space="preserve">Users are now alerted if a consumer’s </w:t>
      </w:r>
      <w:r>
        <w:rPr>
          <w:b/>
        </w:rPr>
        <w:t>state of residency</w:t>
      </w:r>
      <w:r>
        <w:t xml:space="preserve"> differs from the FFL address state. This prompt enhances accuracy in 4473 transactions.</w:t>
      </w:r>
    </w:p>
    <w:p/>
    <w:p>
      <w:r>
        <w:br/>
      </w:r>
    </w:p>
    <w:p>
      <w:r>
        <w:rPr>
          <w:b/>
        </w:rPr>
        <w:t>New Notification Center for Reports</w:t>
      </w:r>
    </w:p>
    <w:p>
      <w:r>
        <w:t xml:space="preserve">A streamlined </w:t>
      </w:r>
      <w:r>
        <w:rPr>
          <w:b/>
        </w:rPr>
        <w:t>Notification Center</w:t>
      </w:r>
      <w:r>
        <w:t xml:space="preserve"> </w:t>
      </w:r>
      <w:r>
        <w:rPr>
          <w:b/>
        </w:rPr>
        <w:t>Popup</w:t>
      </w:r>
      <w:r>
        <w:t xml:space="preserve"> displays when larger reports are ready for download, eliminating the need to wait on the “Access Prior Reports” screen.</w:t>
      </w:r>
      <w:r>
        <w:br/>
      </w:r>
    </w:p>
    <w:p/>
    <w:p>
      <w:r>
        <w:br/>
      </w:r>
    </w:p>
    <w:p>
      <w:r>
        <w:br/>
      </w:r>
    </w:p>
    <w:p>
      <w:r>
        <w:t>Other recent software updates and release notes can be found as follows:</w:t>
      </w:r>
      <w:r>
        <w:br/>
      </w:r>
    </w:p>
    <w:p>
      <w:r>
        <w:t>Orchid eBoundTM and Related Apps</w:t>
      </w:r>
    </w:p>
    <w:p>
      <w:r>
        <w:t>Orchid POSTM and Orchid eCommerceTM</w:t>
      </w:r>
    </w:p>
    <w:p>
      <w:r>
        <w:t xml:space="preserve">For questions or additional information, please submit tickets through the Orchid Online Support Portal at </w:t>
      </w:r>
      <w:r>
        <w:t>https://orchidllc.zohodesk.com/portal/en/home</w:t>
      </w:r>
    </w:p>
    <w:p>
      <w:r>
        <w:t xml:space="preserve"> </w:t>
      </w:r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Q4S41.24 Release Notes - Orchid eBound™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